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A7C" w:rsidRDefault="00874A7C" w:rsidP="00874A7C">
      <w:pPr>
        <w:pStyle w:val="2"/>
        <w:spacing w:before="0" w:after="0" w:line="240" w:lineRule="auto"/>
        <w:jc w:val="center"/>
        <w:rPr>
          <w:rFonts w:ascii="宋体" w:eastAsia="宋体" w:hAnsi="宋体" w:cs="Arial" w:hint="eastAsia"/>
          <w:color w:val="000000"/>
          <w:kern w:val="44"/>
          <w:sz w:val="36"/>
          <w:szCs w:val="36"/>
        </w:rPr>
      </w:pPr>
      <w:bookmarkStart w:id="0" w:name="_Toc300567294"/>
      <w:bookmarkStart w:id="1" w:name="_Toc477821558"/>
      <w:bookmarkStart w:id="2" w:name="_GoBack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2.1 识别和获取适用的安全生产和职业卫生法律法规、标准规范的管理制度</w:t>
      </w:r>
      <w:bookmarkEnd w:id="0"/>
      <w:bookmarkEnd w:id="1"/>
    </w:p>
    <w:p w:rsidR="00874A7C" w:rsidRDefault="00874A7C" w:rsidP="00874A7C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bookmarkStart w:id="3" w:name="_Toc300567295"/>
      <w:bookmarkEnd w:id="2"/>
      <w:r>
        <w:rPr>
          <w:rFonts w:cs="Times New Roman" w:hint="eastAsia"/>
          <w:b/>
          <w:kern w:val="2"/>
        </w:rPr>
        <w:t>一、总则</w:t>
      </w:r>
      <w:bookmarkEnd w:id="3"/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为及时识别和获取与本公司安全活动相关的法律法规、标准规范和其它要求并保持持续更新，切实履行公司遵守安全健康管理法律法规、标准规范和其他要求的承诺，特制订本制度。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二、范围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proofErr w:type="gramStart"/>
      <w:r>
        <w:rPr>
          <w:rFonts w:cs="Times New Roman" w:hint="eastAsia"/>
          <w:kern w:val="2"/>
        </w:rPr>
        <w:t>本制定</w:t>
      </w:r>
      <w:proofErr w:type="gramEnd"/>
      <w:r>
        <w:rPr>
          <w:rFonts w:cs="Times New Roman" w:hint="eastAsia"/>
          <w:kern w:val="2"/>
        </w:rPr>
        <w:t>适用于本公司各部门。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三、内容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（一）各部门负责对本部门职责范围内有关的安全法律、法规、标准和其它要求的识别、获取，并报  汇总、备案待查。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（二）XX部负责对各部门识别和获取的法律法规进行整理、汇总，并交分管领导审批；并负责督促相关部门对法律法规、标准规范和其他要求进行宣传、贯彻、培训及落实情况。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（三）XX部负责对识别的法律法规进行公告。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（四）分管安全领导负责与本公司安全健康管理活动有关的安全法律、法规、标准及其它要求以及其适用性的审批，并对公司安全法律、法规、标准及其它要求的履行情况进行总体控制。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bookmarkStart w:id="4" w:name="_Toc300567296"/>
      <w:r>
        <w:rPr>
          <w:rFonts w:cs="Times New Roman" w:hint="eastAsia"/>
          <w:kern w:val="2"/>
        </w:rPr>
        <w:t>（五）管理要求</w:t>
      </w:r>
      <w:bookmarkEnd w:id="4"/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1、获取内容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法律：人大颁布的安全卫生法律，如：宪法、安全生产和职业卫生法、职业病防治法、环境保护法、刑法、劳动法等；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法规：国务院和省级人大颁布的有关安全卫生的法规；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规章：国务院各部、委、局和XX省人民政府颁布的安全卫生规章制度；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标准：国家和地方颁布的安全标准、卫生标准、有关安全卫生的其它标准；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国际公约：我国已签署的关于劳动保护和安全的公约；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其它要求：XX人民政府有关安全卫生方面的规范性文件，上级主管部门有关的安全卫生要求的要求，相关行业的要求、非法规性文件和通知等。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2、获取渠道和方法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lastRenderedPageBreak/>
        <w:t>（1）通过上级部门下达的文件、通知进行获取。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（2）通过订阅安全健康管理等专业报刊、杂志、书籍等进行获取。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（3）通过浏览中国安全生产和职业卫生协会（</w:t>
      </w:r>
      <w:r>
        <w:rPr>
          <w:rFonts w:cs="Times New Roman"/>
          <w:kern w:val="2"/>
        </w:rPr>
        <w:t>www.china-safety.org.cn</w:t>
      </w:r>
      <w:r>
        <w:rPr>
          <w:rFonts w:cs="Times New Roman" w:hint="eastAsia"/>
          <w:kern w:val="2"/>
        </w:rPr>
        <w:t>）、xx安全生产和职业卫生监督管理局公众信息网（</w:t>
      </w:r>
      <w:r>
        <w:rPr>
          <w:rFonts w:cs="Times New Roman"/>
          <w:kern w:val="2"/>
        </w:rPr>
        <w:t>www.</w:t>
      </w:r>
      <w:r>
        <w:rPr>
          <w:rFonts w:cs="Times New Roman" w:hint="eastAsia"/>
          <w:kern w:val="2"/>
        </w:rPr>
        <w:t>xx</w:t>
      </w:r>
      <w:r>
        <w:rPr>
          <w:rFonts w:cs="Times New Roman"/>
          <w:kern w:val="2"/>
        </w:rPr>
        <w:t>safety.gov.cn</w:t>
      </w:r>
      <w:r>
        <w:rPr>
          <w:rFonts w:cs="Times New Roman" w:hint="eastAsia"/>
          <w:kern w:val="2"/>
        </w:rPr>
        <w:t>）等安全相关类网页进行获取。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3、适用性判定依据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（1）企业经营活动安全运行要求。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（2）所属行业的要求。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（3）上级主管部门有关要求。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（六）各部门负责对本部门职责范围内有关的安全法律、法规、标准和其它要求的识别、获取，并传递到综合部进行汇总。</w:t>
      </w:r>
      <w:r>
        <w:rPr>
          <w:rFonts w:cs="Times New Roman" w:hint="eastAsia"/>
          <w:color w:val="FF0000"/>
          <w:kern w:val="2"/>
        </w:rPr>
        <w:t>综合部</w:t>
      </w:r>
      <w:r>
        <w:rPr>
          <w:rFonts w:cs="Times New Roman" w:hint="eastAsia"/>
          <w:kern w:val="2"/>
        </w:rPr>
        <w:t>各部门识别和获取的法律法规进行汇总、整理后，并交分管领导审批，经审批合格后由</w:t>
      </w:r>
      <w:r>
        <w:rPr>
          <w:rFonts w:cs="Times New Roman" w:hint="eastAsia"/>
          <w:color w:val="FF0000"/>
          <w:kern w:val="2"/>
        </w:rPr>
        <w:t>资材部</w:t>
      </w:r>
      <w:r>
        <w:rPr>
          <w:rFonts w:cs="Times New Roman" w:hint="eastAsia"/>
          <w:kern w:val="2"/>
        </w:rPr>
        <w:t>进行公告。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（七）法律法规的传达和应用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各部门、办公室将适用于本部门的法律法规、标准规范与其它要求进行传达贯彻，确保相关岗位员工或管理人员用法律法规和其它要求指导工作。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（八）更新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为使法律法规及其它要求保持最新状态，各部门应随时掌握与本部门相关法律、法规及其它要求的最新信息，每半年对现有法律法规、标准规范和其他要求进行清理，并填写《法律法规及其它要求清单更新表》传递给综合部汇总，经分管安全领导批准后，提供给资材部公告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（九）执行和检查评价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综合部负责对公司各部门执行安全相关法律法规、标准和其它要求的宣传、贯彻情况进行监督、检查、评价。</w:t>
      </w: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</w:p>
    <w:p w:rsidR="00874A7C" w:rsidRDefault="00874A7C" w:rsidP="00874A7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874A7C" w:rsidTr="00A41342">
        <w:trPr>
          <w:trHeight w:val="851"/>
          <w:jc w:val="center"/>
        </w:trPr>
        <w:tc>
          <w:tcPr>
            <w:tcW w:w="4536" w:type="dxa"/>
            <w:vAlign w:val="center"/>
          </w:tcPr>
          <w:p w:rsidR="00874A7C" w:rsidRDefault="00874A7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36" w:type="dxa"/>
            <w:vAlign w:val="center"/>
          </w:tcPr>
          <w:p w:rsidR="00874A7C" w:rsidRDefault="00874A7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:rsidR="008F1029" w:rsidRDefault="008F1029"/>
    <w:sectPr w:rsidR="008F1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7C"/>
    <w:rsid w:val="00874A7C"/>
    <w:rsid w:val="008F1029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FEA1B-E593-4114-87B9-CEA5DD9D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74A7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874A7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874A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1</cp:revision>
  <dcterms:created xsi:type="dcterms:W3CDTF">2018-08-08T03:35:00Z</dcterms:created>
  <dcterms:modified xsi:type="dcterms:W3CDTF">2018-08-08T03:35:00Z</dcterms:modified>
</cp:coreProperties>
</file>